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5F11FDC3" w:rsidR="002C06D6" w:rsidRPr="000D0B89" w:rsidRDefault="00E172D6" w:rsidP="70D02903">
      <w:pPr>
        <w:jc w:val="both"/>
        <w:rPr>
          <w:sz w:val="20"/>
          <w:szCs w:val="20"/>
        </w:rPr>
      </w:pPr>
      <w:r w:rsidRPr="70D02903">
        <w:rPr>
          <w:b/>
          <w:bCs/>
          <w:sz w:val="20"/>
          <w:szCs w:val="20"/>
        </w:rPr>
        <w:t>I</w:t>
      </w:r>
      <w:r w:rsidR="002C06D6" w:rsidRPr="70D02903">
        <w:rPr>
          <w:b/>
          <w:bCs/>
          <w:sz w:val="20"/>
          <w:szCs w:val="20"/>
        </w:rPr>
        <w:t xml:space="preserve">nformacija </w:t>
      </w:r>
      <w:r w:rsidR="00951BD3" w:rsidRPr="70D02903">
        <w:rPr>
          <w:b/>
          <w:bCs/>
          <w:sz w:val="20"/>
          <w:szCs w:val="20"/>
        </w:rPr>
        <w:t>apie planuojamą statyti didesnės kaip 30 kW įrengtosios galios vėjo elektrinę</w:t>
      </w:r>
      <w:r w:rsidR="16F3F8DF" w:rsidRPr="70D02903">
        <w:rPr>
          <w:b/>
          <w:bCs/>
          <w:sz w:val="20"/>
          <w:szCs w:val="20"/>
        </w:rPr>
        <w:t xml:space="preserve"> Mažeikių r. sav., Židikų sen., Ritinės k. (VE04)</w:t>
      </w:r>
    </w:p>
    <w:p w14:paraId="67013A42" w14:textId="7A701A38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592517" w:rsidRPr="00592517">
        <w:rPr>
          <w:rFonts w:cstheme="minorHAnsi"/>
          <w:b/>
          <w:bCs/>
          <w:sz w:val="20"/>
          <w:szCs w:val="20"/>
        </w:rPr>
        <w:t>Mažeikių r. sav., Židikų sen., Ritinės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6250E6" w:rsidRPr="006250E6">
        <w:rPr>
          <w:rFonts w:cstheme="minorHAnsi"/>
          <w:b/>
          <w:bCs/>
          <w:sz w:val="20"/>
          <w:szCs w:val="20"/>
        </w:rPr>
        <w:t>6134</w:t>
      </w:r>
      <w:r w:rsidR="006250E6">
        <w:rPr>
          <w:rFonts w:cstheme="minorHAnsi"/>
          <w:b/>
          <w:bCs/>
          <w:sz w:val="20"/>
          <w:szCs w:val="20"/>
        </w:rPr>
        <w:t>-</w:t>
      </w:r>
      <w:r w:rsidR="006250E6" w:rsidRPr="006250E6">
        <w:rPr>
          <w:rFonts w:cstheme="minorHAnsi"/>
          <w:b/>
          <w:bCs/>
          <w:sz w:val="20"/>
          <w:szCs w:val="20"/>
        </w:rPr>
        <w:t>0002</w:t>
      </w:r>
      <w:r w:rsidR="006250E6">
        <w:rPr>
          <w:rFonts w:cstheme="minorHAnsi"/>
          <w:b/>
          <w:bCs/>
          <w:sz w:val="20"/>
          <w:szCs w:val="20"/>
        </w:rPr>
        <w:t>-</w:t>
      </w:r>
      <w:r w:rsidR="006250E6" w:rsidRPr="006250E6">
        <w:rPr>
          <w:rFonts w:cstheme="minorHAnsi"/>
          <w:b/>
          <w:bCs/>
          <w:sz w:val="20"/>
          <w:szCs w:val="20"/>
        </w:rPr>
        <w:t>0038</w:t>
      </w:r>
      <w:r w:rsidRPr="000154DF">
        <w:rPr>
          <w:rFonts w:cstheme="minorHAnsi"/>
          <w:sz w:val="20"/>
          <w:szCs w:val="20"/>
        </w:rPr>
        <w:t xml:space="preserve">, plotas </w:t>
      </w:r>
      <w:r w:rsidR="006250E6" w:rsidRPr="006250E6">
        <w:rPr>
          <w:rFonts w:cstheme="minorHAnsi"/>
          <w:sz w:val="20"/>
          <w:szCs w:val="20"/>
        </w:rPr>
        <w:t>9.82 ha</w:t>
      </w:r>
      <w:r w:rsidRPr="006250E6">
        <w:rPr>
          <w:rFonts w:cstheme="minorHAnsi"/>
          <w:sz w:val="20"/>
          <w:szCs w:val="20"/>
        </w:rPr>
        <w:t>, planuoja</w:t>
      </w:r>
      <w:r w:rsidRPr="000154DF">
        <w:rPr>
          <w:rFonts w:cstheme="minorHAnsi"/>
          <w:sz w:val="20"/>
          <w:szCs w:val="20"/>
        </w:rPr>
        <w:t xml:space="preserve">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C742B9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fr-FR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C742B9">
              <w:rPr>
                <w:rFonts w:cstheme="minorHAnsi"/>
                <w:sz w:val="20"/>
                <w:szCs w:val="20"/>
                <w:lang w:val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4517C4EC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6250E6">
              <w:rPr>
                <w:rFonts w:cstheme="minorHAnsi"/>
                <w:sz w:val="20"/>
                <w:szCs w:val="20"/>
              </w:rPr>
              <w:t>04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35A6CB19" w:rsidR="00665AA1" w:rsidRPr="000154DF" w:rsidRDefault="00976636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200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201C6688" w:rsidR="00665AA1" w:rsidRPr="000154DF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976636">
              <w:rPr>
                <w:sz w:val="20"/>
                <w:szCs w:val="20"/>
              </w:rPr>
              <w:t xml:space="preserve">~ </w:t>
            </w:r>
            <w:r w:rsidR="00976636" w:rsidRPr="00976636">
              <w:rPr>
                <w:sz w:val="20"/>
                <w:szCs w:val="20"/>
              </w:rPr>
              <w:t>600</w:t>
            </w:r>
            <w:r w:rsidR="00A25651" w:rsidRPr="00976636">
              <w:rPr>
                <w:sz w:val="20"/>
                <w:szCs w:val="20"/>
              </w:rPr>
              <w:t xml:space="preserve"> m</w:t>
            </w:r>
            <w:r w:rsidR="00665AA1" w:rsidRPr="6CD2A11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713FC67B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6E3FB1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2C06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64A7841A" w:rsidR="00951BD3" w:rsidRPr="000154DF" w:rsidRDefault="00733B62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3E1D3CB2" w:rsidR="00951BD3" w:rsidRPr="000154DF" w:rsidRDefault="00092644" w:rsidP="002C06D6">
            <w:pPr>
              <w:rPr>
                <w:rFonts w:cstheme="minorHAnsi"/>
                <w:sz w:val="20"/>
                <w:szCs w:val="20"/>
              </w:rPr>
            </w:pPr>
            <w:r w:rsidRPr="00092644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092644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092644">
              <w:rPr>
                <w:rFonts w:cstheme="minorHAnsi"/>
                <w:sz w:val="20"/>
                <w:szCs w:val="20"/>
              </w:rPr>
              <w:t>0114</w:t>
            </w:r>
          </w:p>
        </w:tc>
        <w:tc>
          <w:tcPr>
            <w:tcW w:w="6752" w:type="dxa"/>
          </w:tcPr>
          <w:p w14:paraId="47FEF5B5" w14:textId="01AB14E8" w:rsidR="00951BD3" w:rsidRPr="000154DF" w:rsidRDefault="00092644" w:rsidP="002C06D6">
            <w:pPr>
              <w:rPr>
                <w:rFonts w:cstheme="minorHAnsi"/>
                <w:sz w:val="20"/>
                <w:szCs w:val="20"/>
              </w:rPr>
            </w:pPr>
            <w:r w:rsidRPr="00092644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5E1E9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proofErr w:type="spellStart"/>
            <w:r w:rsidR="00A25651" w:rsidRP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154DF">
              <w:rPr>
                <w:rFonts w:cstheme="minorHAnsi"/>
                <w:sz w:val="20"/>
                <w:szCs w:val="20"/>
              </w:rPr>
              <w:t xml:space="preserve">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2C06D6">
      <w:pPr>
        <w:rPr>
          <w:rFonts w:cstheme="minorHAnsi"/>
          <w:sz w:val="20"/>
          <w:szCs w:val="20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790CF3AD">
        <w:tc>
          <w:tcPr>
            <w:tcW w:w="10201" w:type="dxa"/>
            <w:gridSpan w:val="3"/>
          </w:tcPr>
          <w:p w14:paraId="7FEB98CD" w14:textId="1C4A4AB4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790CF3AD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790CF3AD">
        <w:tc>
          <w:tcPr>
            <w:tcW w:w="846" w:type="dxa"/>
          </w:tcPr>
          <w:p w14:paraId="63179390" w14:textId="02AE5235" w:rsidR="00142E0D" w:rsidRPr="000D0B89" w:rsidRDefault="00092644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1A84E1BE" w14:textId="765DB616" w:rsidR="00142E0D" w:rsidRPr="000D0B89" w:rsidRDefault="00092644" w:rsidP="007A317E">
            <w:pPr>
              <w:rPr>
                <w:rFonts w:cstheme="minorHAnsi"/>
                <w:sz w:val="20"/>
                <w:szCs w:val="20"/>
              </w:rPr>
            </w:pPr>
            <w:r w:rsidRPr="00092644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092644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092644">
              <w:rPr>
                <w:rFonts w:cstheme="minorHAnsi"/>
                <w:sz w:val="20"/>
                <w:szCs w:val="20"/>
              </w:rPr>
              <w:t>0114</w:t>
            </w:r>
          </w:p>
        </w:tc>
        <w:tc>
          <w:tcPr>
            <w:tcW w:w="6752" w:type="dxa"/>
          </w:tcPr>
          <w:p w14:paraId="76D4F51C" w14:textId="0B5FB4B9" w:rsidR="00142E0D" w:rsidRPr="000D0B89" w:rsidRDefault="00092644" w:rsidP="007A317E">
            <w:pPr>
              <w:rPr>
                <w:rFonts w:cstheme="minorHAnsi"/>
                <w:sz w:val="20"/>
                <w:szCs w:val="20"/>
              </w:rPr>
            </w:pPr>
            <w:r w:rsidRPr="00092644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D0B89" w14:paraId="4A28F348" w14:textId="77777777" w:rsidTr="790CF3AD">
        <w:tc>
          <w:tcPr>
            <w:tcW w:w="846" w:type="dxa"/>
          </w:tcPr>
          <w:p w14:paraId="4E857F80" w14:textId="7A8DBBBF" w:rsidR="00142E0D" w:rsidRPr="000D0B89" w:rsidRDefault="006E3FB1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14:paraId="72793A66" w14:textId="2D2EE180" w:rsidR="00142E0D" w:rsidRPr="000D0B89" w:rsidRDefault="006E3FB1" w:rsidP="007A317E">
            <w:pPr>
              <w:rPr>
                <w:rFonts w:cstheme="minorHAnsi"/>
                <w:sz w:val="20"/>
                <w:szCs w:val="20"/>
              </w:rPr>
            </w:pPr>
            <w:r w:rsidRPr="006E3FB1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6E3FB1">
              <w:rPr>
                <w:rFonts w:cstheme="minorHAnsi"/>
                <w:sz w:val="20"/>
                <w:szCs w:val="20"/>
              </w:rPr>
              <w:t>0550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6E3FB1">
              <w:rPr>
                <w:rFonts w:cstheme="minorHAnsi"/>
                <w:sz w:val="20"/>
                <w:szCs w:val="20"/>
              </w:rPr>
              <w:t>8292</w:t>
            </w:r>
          </w:p>
        </w:tc>
        <w:tc>
          <w:tcPr>
            <w:tcW w:w="6752" w:type="dxa"/>
          </w:tcPr>
          <w:p w14:paraId="2FC24049" w14:textId="11B0B417" w:rsidR="00142E0D" w:rsidRPr="000D0B89" w:rsidRDefault="006E3FB1" w:rsidP="007A317E">
            <w:pPr>
              <w:rPr>
                <w:rFonts w:cstheme="minorHAnsi"/>
                <w:sz w:val="20"/>
                <w:szCs w:val="20"/>
              </w:rPr>
            </w:pPr>
            <w:r w:rsidRPr="00092644">
              <w:rPr>
                <w:rFonts w:cstheme="minorHAnsi"/>
                <w:sz w:val="20"/>
                <w:szCs w:val="20"/>
              </w:rPr>
              <w:t>Mažeikių r. sav., Židikų sen., Ritinės k.</w:t>
            </w:r>
          </w:p>
        </w:tc>
      </w:tr>
      <w:tr w:rsidR="00142E0D" w:rsidRPr="000D0B89" w14:paraId="00CA9C6D" w14:textId="77777777" w:rsidTr="790CF3AD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68B3FEC8" w:rsidR="00142E0D" w:rsidRPr="000D0B89" w:rsidRDefault="006E3FB1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="00142E0D"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="00142E0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="00142E0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61C6AA1E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790CF3AD">
              <w:rPr>
                <w:sz w:val="20"/>
                <w:szCs w:val="20"/>
              </w:rPr>
              <w:t>per 20 d</w:t>
            </w:r>
            <w:r w:rsidR="00A25651" w:rsidRPr="790CF3AD">
              <w:rPr>
                <w:sz w:val="20"/>
                <w:szCs w:val="20"/>
              </w:rPr>
              <w:t>.</w:t>
            </w:r>
            <w:r w:rsidR="00E631E8" w:rsidRPr="790CF3AD">
              <w:rPr>
                <w:sz w:val="20"/>
                <w:szCs w:val="20"/>
              </w:rPr>
              <w:t xml:space="preserve"> </w:t>
            </w:r>
            <w:r w:rsidRPr="790CF3AD">
              <w:rPr>
                <w:sz w:val="20"/>
                <w:szCs w:val="20"/>
              </w:rPr>
              <w:t>d</w:t>
            </w:r>
            <w:r w:rsidR="00A25651" w:rsidRPr="790CF3AD">
              <w:rPr>
                <w:sz w:val="20"/>
                <w:szCs w:val="20"/>
              </w:rPr>
              <w:t>.</w:t>
            </w:r>
            <w:r w:rsidRPr="790CF3AD">
              <w:rPr>
                <w:sz w:val="20"/>
                <w:szCs w:val="20"/>
              </w:rPr>
              <w:t xml:space="preserve"> nuo </w:t>
            </w:r>
            <w:r w:rsidR="00AE35AA" w:rsidRPr="790CF3AD">
              <w:rPr>
                <w:sz w:val="20"/>
                <w:szCs w:val="20"/>
              </w:rPr>
              <w:t xml:space="preserve">šios </w:t>
            </w:r>
            <w:r w:rsidRPr="790CF3AD">
              <w:rPr>
                <w:sz w:val="20"/>
                <w:szCs w:val="20"/>
              </w:rPr>
              <w:t xml:space="preserve">informacijos </w:t>
            </w:r>
            <w:r w:rsidR="00AE35AA" w:rsidRPr="790CF3AD">
              <w:rPr>
                <w:sz w:val="20"/>
                <w:szCs w:val="20"/>
              </w:rPr>
              <w:t>paskelbimo</w:t>
            </w:r>
            <w:r w:rsidRPr="790CF3AD">
              <w:rPr>
                <w:sz w:val="20"/>
                <w:szCs w:val="20"/>
              </w:rPr>
              <w:t xml:space="preserve"> dienos raštu pateikti prieštaravimą dėl statybų </w:t>
            </w:r>
            <w:r w:rsidR="000154DF" w:rsidRPr="790CF3AD">
              <w:rPr>
                <w:sz w:val="20"/>
                <w:szCs w:val="20"/>
              </w:rPr>
              <w:t>ir/</w:t>
            </w:r>
            <w:r w:rsidRPr="790CF3AD">
              <w:rPr>
                <w:sz w:val="20"/>
                <w:szCs w:val="20"/>
              </w:rPr>
              <w:t xml:space="preserve">arba </w:t>
            </w:r>
            <w:r w:rsidR="000154DF" w:rsidRPr="790CF3AD">
              <w:rPr>
                <w:sz w:val="20"/>
                <w:szCs w:val="20"/>
              </w:rPr>
              <w:t xml:space="preserve">sudaryti </w:t>
            </w:r>
            <w:r w:rsidRPr="790CF3AD">
              <w:rPr>
                <w:sz w:val="20"/>
                <w:szCs w:val="20"/>
              </w:rPr>
              <w:t xml:space="preserve">susitarimą </w:t>
            </w:r>
            <w:r w:rsidR="2E6566F8" w:rsidRPr="790CF3AD">
              <w:rPr>
                <w:sz w:val="20"/>
                <w:szCs w:val="20"/>
              </w:rPr>
              <w:t xml:space="preserve">su </w:t>
            </w:r>
            <w:r w:rsidR="000154DF" w:rsidRPr="790CF3AD">
              <w:rPr>
                <w:sz w:val="20"/>
                <w:szCs w:val="20"/>
              </w:rPr>
              <w:t>UAB „</w:t>
            </w:r>
            <w:proofErr w:type="spellStart"/>
            <w:r w:rsidR="000154DF" w:rsidRPr="790CF3AD">
              <w:rPr>
                <w:sz w:val="20"/>
                <w:szCs w:val="20"/>
              </w:rPr>
              <w:t>Juodeikėlių</w:t>
            </w:r>
            <w:proofErr w:type="spellEnd"/>
            <w:r w:rsidR="000154DF" w:rsidRPr="790CF3AD">
              <w:rPr>
                <w:sz w:val="20"/>
                <w:szCs w:val="20"/>
              </w:rPr>
              <w:t xml:space="preserve"> vėjas“ </w:t>
            </w:r>
            <w:r w:rsidRPr="790CF3AD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748718CD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="00A25651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D0B89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1930F976" w:rsidR="000F6908" w:rsidRPr="000D0B89" w:rsidRDefault="00A25651" w:rsidP="70D02903">
      <w:pPr>
        <w:spacing w:line="240" w:lineRule="auto"/>
        <w:jc w:val="both"/>
        <w:rPr>
          <w:b/>
          <w:bCs/>
          <w:sz w:val="20"/>
          <w:szCs w:val="20"/>
        </w:rPr>
      </w:pPr>
      <w:r w:rsidRPr="70D02903">
        <w:rPr>
          <w:b/>
          <w:bCs/>
          <w:sz w:val="20"/>
          <w:szCs w:val="20"/>
        </w:rPr>
        <w:t>Dėl papildomos informacijos suteikimo kreiptis į UAB „</w:t>
      </w:r>
      <w:proofErr w:type="spellStart"/>
      <w:r w:rsidRPr="70D02903">
        <w:rPr>
          <w:b/>
          <w:bCs/>
          <w:sz w:val="20"/>
          <w:szCs w:val="20"/>
        </w:rPr>
        <w:t>Juodeikėlių</w:t>
      </w:r>
      <w:proofErr w:type="spellEnd"/>
      <w:r w:rsidRPr="70D02903">
        <w:rPr>
          <w:b/>
          <w:bCs/>
          <w:sz w:val="20"/>
          <w:szCs w:val="20"/>
        </w:rPr>
        <w:t xml:space="preserve"> vėjas“, įmonės kodas 306127573, adresas korespondencijai: Vytenio g. 46, Vilnius 03229, tel. Nr. +370 632 34259, el. p. </w:t>
      </w:r>
      <w:hyperlink r:id="rId5" w:history="1">
        <w:r w:rsidRPr="70D02903">
          <w:rPr>
            <w:rStyle w:val="Hipersaitas"/>
            <w:b/>
            <w:bCs/>
            <w:sz w:val="20"/>
            <w:szCs w:val="20"/>
          </w:rPr>
          <w:t>juodeikeliu.vejas@gmail.com</w:t>
        </w:r>
      </w:hyperlink>
      <w:r w:rsidRPr="70D02903">
        <w:rPr>
          <w:b/>
          <w:bCs/>
          <w:sz w:val="20"/>
          <w:szCs w:val="20"/>
        </w:rPr>
        <w:t>.</w:t>
      </w:r>
      <w:r w:rsidR="000F6908" w:rsidRPr="70D02903">
        <w:rPr>
          <w:rStyle w:val="Antrat1Diagrama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</w:t>
      </w:r>
      <w:r w:rsidR="000F6908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70D02903">
        <w:rPr>
          <w:rStyle w:val="normaltextrun"/>
          <w:color w:val="000000"/>
          <w:sz w:val="20"/>
          <w:szCs w:val="20"/>
          <w:shd w:val="clear" w:color="auto" w:fill="FFFFFF"/>
        </w:rPr>
        <w:t>šiais kontaktais</w:t>
      </w:r>
      <w:r w:rsidR="000F6908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70D02903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70D02903">
        <w:rPr>
          <w:rStyle w:val="normaltextrun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70D02903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70D02903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70D02903">
        <w:rPr>
          <w:rStyle w:val="normaltextrun"/>
          <w:color w:val="000000"/>
          <w:sz w:val="20"/>
          <w:szCs w:val="20"/>
          <w:shd w:val="clear" w:color="auto" w:fill="FFFFFF"/>
        </w:rPr>
        <w:t>Bendrove.</w:t>
      </w:r>
    </w:p>
    <w:p w14:paraId="434E688F" w14:textId="290ADA1F" w:rsidR="299AD005" w:rsidRDefault="299AD005" w:rsidP="70D02903">
      <w:pPr>
        <w:spacing w:line="240" w:lineRule="auto"/>
        <w:jc w:val="right"/>
        <w:rPr>
          <w:rStyle w:val="normaltextrun"/>
          <w:color w:val="000000" w:themeColor="text1"/>
          <w:sz w:val="20"/>
          <w:szCs w:val="20"/>
        </w:rPr>
      </w:pPr>
      <w:r w:rsidRPr="70D02903">
        <w:rPr>
          <w:rStyle w:val="normaltextrun"/>
          <w:color w:val="000000" w:themeColor="text1"/>
          <w:sz w:val="20"/>
          <w:szCs w:val="20"/>
        </w:rPr>
        <w:t>UAB “</w:t>
      </w:r>
      <w:proofErr w:type="spellStart"/>
      <w:r w:rsidRPr="70D02903">
        <w:rPr>
          <w:rStyle w:val="normaltextrun"/>
          <w:color w:val="000000" w:themeColor="text1"/>
          <w:sz w:val="20"/>
          <w:szCs w:val="20"/>
        </w:rPr>
        <w:t>Juodeikėlių</w:t>
      </w:r>
      <w:proofErr w:type="spellEnd"/>
      <w:r w:rsidRPr="70D02903">
        <w:rPr>
          <w:rStyle w:val="normaltextrun"/>
          <w:color w:val="000000" w:themeColor="text1"/>
          <w:sz w:val="20"/>
          <w:szCs w:val="20"/>
        </w:rPr>
        <w:t xml:space="preserve"> vėjas” informacija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2644"/>
    <w:rsid w:val="00093D20"/>
    <w:rsid w:val="000A6C74"/>
    <w:rsid w:val="000D0B89"/>
    <w:rsid w:val="000F6908"/>
    <w:rsid w:val="00112C66"/>
    <w:rsid w:val="00140746"/>
    <w:rsid w:val="00142E0D"/>
    <w:rsid w:val="00163323"/>
    <w:rsid w:val="00175173"/>
    <w:rsid w:val="001A4068"/>
    <w:rsid w:val="001E0C91"/>
    <w:rsid w:val="00225B7C"/>
    <w:rsid w:val="00273AE7"/>
    <w:rsid w:val="002C06D6"/>
    <w:rsid w:val="00327548"/>
    <w:rsid w:val="00353599"/>
    <w:rsid w:val="003F1AAE"/>
    <w:rsid w:val="004336ED"/>
    <w:rsid w:val="004547C3"/>
    <w:rsid w:val="00532A01"/>
    <w:rsid w:val="00555A11"/>
    <w:rsid w:val="005777D2"/>
    <w:rsid w:val="00592517"/>
    <w:rsid w:val="005E1E9D"/>
    <w:rsid w:val="005F76F2"/>
    <w:rsid w:val="006238CF"/>
    <w:rsid w:val="006250E6"/>
    <w:rsid w:val="006645C1"/>
    <w:rsid w:val="00665AA1"/>
    <w:rsid w:val="006E06E5"/>
    <w:rsid w:val="006E3FB1"/>
    <w:rsid w:val="00705548"/>
    <w:rsid w:val="00733B62"/>
    <w:rsid w:val="007537AF"/>
    <w:rsid w:val="0082385E"/>
    <w:rsid w:val="008314F7"/>
    <w:rsid w:val="008E701C"/>
    <w:rsid w:val="008F79CB"/>
    <w:rsid w:val="00916013"/>
    <w:rsid w:val="00917872"/>
    <w:rsid w:val="00925748"/>
    <w:rsid w:val="00931A6A"/>
    <w:rsid w:val="00946937"/>
    <w:rsid w:val="00951BD3"/>
    <w:rsid w:val="00976636"/>
    <w:rsid w:val="00A00A83"/>
    <w:rsid w:val="00A10855"/>
    <w:rsid w:val="00A25651"/>
    <w:rsid w:val="00A25BC3"/>
    <w:rsid w:val="00A54A1B"/>
    <w:rsid w:val="00AE35AA"/>
    <w:rsid w:val="00B04AC4"/>
    <w:rsid w:val="00B06594"/>
    <w:rsid w:val="00B2289A"/>
    <w:rsid w:val="00B7182B"/>
    <w:rsid w:val="00C10A93"/>
    <w:rsid w:val="00C53153"/>
    <w:rsid w:val="00C742B9"/>
    <w:rsid w:val="00CF0E19"/>
    <w:rsid w:val="00DB10D3"/>
    <w:rsid w:val="00DB357F"/>
    <w:rsid w:val="00E172D6"/>
    <w:rsid w:val="00E20348"/>
    <w:rsid w:val="00E43F8C"/>
    <w:rsid w:val="00E631E8"/>
    <w:rsid w:val="00EB1B4E"/>
    <w:rsid w:val="00F90FEB"/>
    <w:rsid w:val="00FF3B74"/>
    <w:rsid w:val="02CCB242"/>
    <w:rsid w:val="16F3F8DF"/>
    <w:rsid w:val="1EF282AF"/>
    <w:rsid w:val="227FD7C2"/>
    <w:rsid w:val="299AD005"/>
    <w:rsid w:val="2C66C4B4"/>
    <w:rsid w:val="2D4AB737"/>
    <w:rsid w:val="2E6566F8"/>
    <w:rsid w:val="3A364A34"/>
    <w:rsid w:val="3DB19114"/>
    <w:rsid w:val="3F9BE72E"/>
    <w:rsid w:val="4ABCC67E"/>
    <w:rsid w:val="522C5EEA"/>
    <w:rsid w:val="5DB6A6C1"/>
    <w:rsid w:val="6CD2A111"/>
    <w:rsid w:val="70D02903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657</Words>
  <Characters>3750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Kristinaga</cp:lastModifiedBy>
  <cp:revision>2</cp:revision>
  <dcterms:created xsi:type="dcterms:W3CDTF">2025-11-19T06:40:00Z</dcterms:created>
  <dcterms:modified xsi:type="dcterms:W3CDTF">2025-11-19T06:40:00Z</dcterms:modified>
</cp:coreProperties>
</file>